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caps/>
          <w:sz w:val="24"/>
        </w:rPr>
        <w:t>Положение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о V</w:t>
      </w:r>
      <w:r w:rsidRPr="00520723">
        <w:rPr>
          <w:rFonts w:ascii="Times New Roman" w:hAnsi="Times New Roman" w:cs="FreeSetCTT"/>
          <w:bCs/>
          <w:sz w:val="24"/>
          <w:lang w:val="en-US"/>
        </w:rPr>
        <w:t>II</w:t>
      </w:r>
      <w:r w:rsidRPr="00520723">
        <w:rPr>
          <w:rFonts w:ascii="Times New Roman" w:hAnsi="Times New Roman" w:cs="FreeSetCTT"/>
          <w:bCs/>
          <w:sz w:val="24"/>
        </w:rPr>
        <w:t xml:space="preserve"> Общероссийском конкурсе изданий для высших учебных заведений «Университетская книга - 2015» </w:t>
      </w:r>
    </w:p>
    <w:p w:rsidR="00520723" w:rsidRPr="00520723" w:rsidRDefault="00520723" w:rsidP="00520723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1. Общие положения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1.1. V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II</w:t>
      </w:r>
      <w:r w:rsidRPr="00520723">
        <w:rPr>
          <w:rFonts w:ascii="Times New Roman" w:hAnsi="Times New Roman" w:cs="FreeSetCTT"/>
          <w:sz w:val="24"/>
          <w:szCs w:val="20"/>
        </w:rPr>
        <w:t xml:space="preserve"> Общероссийский конкурс изданий для высших учебных заведений «Университетская книга-2015» (далее – Конкурс), учрежденный журналом «Университетская книга» в 2000 г., проводится с целью поддержки авторских коллективов, поощрения издательских проектов вузов и коммерческих издательств, направленных на обеспечение ФГОС  третьего поколения «бакалавр – магистр», повышения уровня редакционно-издательской подготовки, полиграфического исполнения и художественного оформления изданий для студентов, аспирантов, слушателей подразделений дополнительного профессионального образования.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1.2. Конкурс проводится с 15 января 2015 г. по 15 сентября 2015 г.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1.3. К участию в Конкурсе допускаются: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– издательства и издательские подразделения высших учебных заведений, выпускающие издания всех типов и видов;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издательства и издательские подразделения научно-исследовательских и академических институтов, общественных и творческих организаций, выпускающие издания для сферы высшего образования;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коммерческие издательства, выпускающие издания для вузов;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библиотеки и информационные центры, выпускающие издания научного, учебного и справочного характера;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авторы и независимые авторские коллективы, выпускающие издания для вузов.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1.4. К участию в Конкурсе приглашаются вузовские и книжные издательства из России, стран ближнего и дальнего зарубежья, выпускающие учебные, научные и справочные непериодические издания для высшего профессионального образования на русском языке на традиционных и электронных носителях.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1.5. Вузовские и книжные издательства, издающие организации, библиотеки и авторские коллективы участвуют в Конкурсе на основании заявок и представления своих изданий в Оргкомитет Конкурса, а также перечисления организационного целевого взноса (на оплату экспозиционных стендов на книжных выставках-ярмарках, технической обработки книг, ведения базы данных, печати сертификатов, каталога, аренды помещения для торжественного подведения итогов конкурса и др.). Организационный целевой взнос от участников Конкурса – высших учебных заведений и коммерческих издательств - составляет 10000 рублей (не включая НДС). Организационный целевой взнос от авторов и авторских коллективов – 500 руб. (в т.ч. НДС) за 1 наименование книги. Библиотеки участвуют в Конкурсе бесплатно.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1.6. На Конкурс принимаются печатные издания, выпущенные в 2012-2015 гг., удовлетворяющие санитарно-гигиеническим требованиям и отраслевым стандартам по </w:t>
      </w:r>
      <w:r w:rsidRPr="00520723">
        <w:rPr>
          <w:rFonts w:ascii="Times New Roman" w:hAnsi="Times New Roman" w:cs="FreeSetCTT"/>
          <w:sz w:val="24"/>
          <w:szCs w:val="20"/>
        </w:rPr>
        <w:lastRenderedPageBreak/>
        <w:t xml:space="preserve">издательскому делу, по 2 экземпляра каждого названия. Присланные на Конкурс издания возврату и оплате не подлежат.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1.7.    На конкурс принимаются издания в электронной форме (на компакт-дисках), по 2 экземпляра каждого наименования, а также в цифровом виде, размещенные на национальном цифровом ресурсе «РУКОНТ» (</w:t>
      </w:r>
      <w:hyperlink r:id="rId8" w:history="1">
        <w:r w:rsidRPr="00520723">
          <w:rPr>
            <w:rFonts w:ascii="Times New Roman" w:hAnsi="Times New Roman" w:cs="FreeSetCTT"/>
            <w:sz w:val="24"/>
            <w:u w:val="single"/>
            <w:lang w:val="en-US"/>
          </w:rPr>
          <w:t>www</w:t>
        </w:r>
        <w:r w:rsidRPr="00520723">
          <w:rPr>
            <w:rFonts w:ascii="Times New Roman" w:hAnsi="Times New Roman" w:cs="FreeSetCTT"/>
            <w:sz w:val="24"/>
            <w:u w:val="single"/>
          </w:rPr>
          <w:t>.</w:t>
        </w:r>
        <w:r w:rsidRPr="00520723">
          <w:rPr>
            <w:rFonts w:ascii="Times New Roman" w:hAnsi="Times New Roman" w:cs="FreeSetCTT"/>
            <w:sz w:val="24"/>
            <w:u w:val="single"/>
            <w:lang w:val="en-US"/>
          </w:rPr>
          <w:t>rucont</w:t>
        </w:r>
        <w:r w:rsidRPr="00520723">
          <w:rPr>
            <w:rFonts w:ascii="Times New Roman" w:hAnsi="Times New Roman" w:cs="FreeSetCTT"/>
            <w:sz w:val="24"/>
            <w:u w:val="single"/>
          </w:rPr>
          <w:t>.</w:t>
        </w:r>
        <w:r w:rsidRPr="00520723">
          <w:rPr>
            <w:rFonts w:ascii="Times New Roman" w:hAnsi="Times New Roman" w:cs="FreeSetCTT"/>
            <w:sz w:val="24"/>
            <w:u w:val="single"/>
            <w:lang w:val="en-US"/>
          </w:rPr>
          <w:t>ru</w:t>
        </w:r>
      </w:hyperlink>
      <w:r w:rsidRPr="00520723">
        <w:rPr>
          <w:rFonts w:ascii="Times New Roman" w:hAnsi="Times New Roman" w:cs="FreeSetCTT"/>
          <w:sz w:val="24"/>
          <w:szCs w:val="20"/>
        </w:rPr>
        <w:t xml:space="preserve">), с указанием </w:t>
      </w:r>
      <w:r w:rsidRPr="00520723">
        <w:rPr>
          <w:rFonts w:ascii="Times New Roman" w:hAnsi="Times New Roman" w:cs="FreeSetCTT"/>
          <w:bCs/>
          <w:sz w:val="24"/>
          <w:lang w:val="en-US"/>
        </w:rPr>
        <w:t>URL</w:t>
      </w:r>
      <w:r w:rsidRPr="00520723">
        <w:rPr>
          <w:rFonts w:ascii="Times New Roman" w:hAnsi="Times New Roman" w:cs="FreeSetCTT"/>
          <w:sz w:val="24"/>
          <w:szCs w:val="20"/>
        </w:rPr>
        <w:t xml:space="preserve">конкурсного издания.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1.8. Число названий печатных изданий, представленных на Конкурс отдельным вузовским или книжным издательством не должно превышать 20 наименований.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1.9. Полный список книг, поступивших на Конкурс, публикуется на сайте журнала «Университетская книга»  www.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unkniga</w:t>
      </w:r>
      <w:r w:rsidRPr="00520723">
        <w:rPr>
          <w:rFonts w:ascii="Times New Roman" w:hAnsi="Times New Roman" w:cs="FreeSetCTT"/>
          <w:sz w:val="24"/>
          <w:szCs w:val="20"/>
        </w:rPr>
        <w:t>.ru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2. Номинации конкурса</w:t>
      </w:r>
    </w:p>
    <w:p w:rsidR="00520723" w:rsidRPr="00520723" w:rsidRDefault="00520723" w:rsidP="00520723">
      <w:pPr>
        <w:tabs>
          <w:tab w:val="num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  <w:szCs w:val="20"/>
        </w:rPr>
        <w:t>2.1. К</w:t>
      </w:r>
      <w:r w:rsidRPr="00520723">
        <w:rPr>
          <w:rFonts w:ascii="Times New Roman" w:hAnsi="Times New Roman"/>
          <w:bCs/>
          <w:sz w:val="24"/>
          <w:szCs w:val="20"/>
        </w:rPr>
        <w:t xml:space="preserve">онкурсные издания оцениваются за содержательную составляющую, редакционно-издательскую подготовку, </w:t>
      </w:r>
      <w:r w:rsidRPr="00520723">
        <w:rPr>
          <w:rFonts w:ascii="Times New Roman" w:hAnsi="Times New Roman"/>
          <w:sz w:val="24"/>
          <w:szCs w:val="20"/>
        </w:rPr>
        <w:t>полиграфическое исполнение и художественное оформление в следующих номинациях: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гуманитарным и социальным наукам.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филологическим наукам.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экономическим наукам, менеджменту и маркетингу.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естественным наукам.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 издание по юридическим наукам;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педагогическим наукам;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медицине;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математике, информатике и вычислительной технике;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техническим наукам;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 издание по транспорту;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 - Лучшее  издание по сельскому хозяйству; 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архитектуре, искусству и дизайну;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  издание по физической культуре и спорту, туризму и рекреации;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Лучшее историко-биографическое, краеведческое издание;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  Лучшее издание по журналистике, книжной торговле, издательскому делу и полиграфии;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Лучший издательский проект;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lastRenderedPageBreak/>
        <w:t> - Новые виды учебных изданий (кейсы, компендиумы, руководства, комплекты, комплексы, рабочие тетради, хрестоматии, практикумы, задачники, модули, атласы, комбинированные форматы  и др.);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 - </w:t>
      </w:r>
      <w:r w:rsidRPr="00520723">
        <w:rPr>
          <w:rFonts w:ascii="Times New Roman" w:hAnsi="Times New Roman"/>
          <w:bCs/>
          <w:sz w:val="24"/>
          <w:szCs w:val="20"/>
        </w:rPr>
        <w:t>Лучшее справочное издание;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</w:t>
      </w:r>
      <w:r w:rsidRPr="00520723">
        <w:rPr>
          <w:rFonts w:ascii="Times New Roman" w:hAnsi="Times New Roman"/>
          <w:bCs/>
          <w:sz w:val="24"/>
          <w:szCs w:val="20"/>
        </w:rPr>
        <w:t>- Лучшее переводное издание;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</w:t>
      </w:r>
      <w:r w:rsidRPr="00520723">
        <w:rPr>
          <w:rFonts w:ascii="Times New Roman" w:hAnsi="Times New Roman"/>
          <w:bCs/>
          <w:sz w:val="24"/>
          <w:szCs w:val="20"/>
        </w:rPr>
        <w:t>- Лучшее картографическое издание;</w:t>
      </w:r>
      <w:r w:rsidRPr="00520723">
        <w:rPr>
          <w:rFonts w:ascii="Times New Roman" w:hAnsi="Times New Roman" w:cs="FreeSetCTT"/>
          <w:sz w:val="24"/>
          <w:szCs w:val="20"/>
        </w:rPr>
        <w:t xml:space="preserve"> 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 - Ведущая научная школа вуза;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/>
          <w:bCs/>
          <w:sz w:val="24"/>
          <w:szCs w:val="20"/>
        </w:rPr>
        <w:t> - Лучшее серийное и/или периодическое издание;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/>
          <w:sz w:val="24"/>
          <w:szCs w:val="20"/>
        </w:rPr>
        <w:t> - Лучшее мультимедийное (электронное издание);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/>
          <w:bCs/>
          <w:sz w:val="24"/>
          <w:szCs w:val="20"/>
        </w:rPr>
        <w:t> - Лучшее многократное издание (самая востребованная книга);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/>
          <w:bCs/>
          <w:sz w:val="24"/>
          <w:szCs w:val="20"/>
        </w:rPr>
        <w:t> </w:t>
      </w:r>
      <w:r w:rsidRPr="00520723">
        <w:rPr>
          <w:rFonts w:ascii="Times New Roman" w:hAnsi="Times New Roman" w:cs="FreeSetCTT"/>
          <w:sz w:val="24"/>
          <w:szCs w:val="20"/>
        </w:rPr>
        <w:t> - Высокая культура издания учебных книг.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2.2. Оргкомитет Конкурса и журнал «Университетская книга» оставляют за собой право устанавливать специальные (дополнительные) номинации: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- «Живи и помни» (К 70-летию Великой Победы);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iCs/>
          <w:sz w:val="24"/>
          <w:szCs w:val="20"/>
        </w:rPr>
        <w:t>- «Казачество»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iCs/>
          <w:sz w:val="24"/>
          <w:szCs w:val="20"/>
        </w:rPr>
        <w:t>- «Времена года»</w:t>
      </w:r>
      <w:r w:rsidRPr="00520723">
        <w:rPr>
          <w:rFonts w:ascii="Times New Roman" w:hAnsi="Times New Roman"/>
          <w:bCs/>
          <w:sz w:val="24"/>
          <w:szCs w:val="20"/>
        </w:rPr>
        <w:t xml:space="preserve"> - лучшее музыкальное издание </w:t>
      </w:r>
      <w:r w:rsidRPr="00520723">
        <w:rPr>
          <w:rFonts w:ascii="Times New Roman" w:hAnsi="Times New Roman" w:cs="FreeSetCTT"/>
          <w:bCs/>
          <w:iCs/>
          <w:sz w:val="24"/>
          <w:szCs w:val="20"/>
        </w:rPr>
        <w:t xml:space="preserve">(к юбилею П.И. Чайковского)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iCs/>
          <w:sz w:val="24"/>
          <w:szCs w:val="20"/>
        </w:rPr>
        <w:t>- «Сонет» - лучшее поэтическое издание (к юбилею В. Шекспира);</w:t>
      </w:r>
    </w:p>
    <w:p w:rsidR="00520723" w:rsidRPr="00520723" w:rsidRDefault="00520723" w:rsidP="00520723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2.3. Оргкомитет Конкурса и журнал «Университетская книга» оставляют за собой право определять отраслевые и региональные площадки для проведения экспертной оценки конкурсных изданий.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 xml:space="preserve">3. Порядок оформления заявок на участие в Конкурсе, отправки книг и сопроводительных материалов 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3.1. Со дня публикации Положения </w:t>
      </w:r>
      <w:r w:rsidRPr="00520723">
        <w:rPr>
          <w:rFonts w:ascii="Times New Roman" w:hAnsi="Times New Roman" w:cs="FreeSetCTT"/>
          <w:bCs/>
          <w:sz w:val="24"/>
        </w:rPr>
        <w:t>по 1 марта 2015</w:t>
      </w:r>
      <w:r w:rsidRPr="00520723">
        <w:rPr>
          <w:rFonts w:ascii="Times New Roman" w:hAnsi="Times New Roman" w:cs="FreeSetCTT"/>
          <w:sz w:val="24"/>
          <w:szCs w:val="20"/>
        </w:rPr>
        <w:t xml:space="preserve"> заявки на Конкурс высылаются в редакцию журнала «Университетская книга» по электронной почте </w:t>
      </w:r>
      <w:r w:rsidRPr="00520723">
        <w:rPr>
          <w:rFonts w:ascii="Times New Roman" w:hAnsi="Times New Roman" w:cs="FreeSetCTT"/>
          <w:bCs/>
          <w:sz w:val="24"/>
          <w:lang w:val="en-US"/>
        </w:rPr>
        <w:t>skovorodina</w:t>
      </w:r>
      <w:r w:rsidRPr="00520723">
        <w:rPr>
          <w:rFonts w:ascii="Times New Roman" w:hAnsi="Times New Roman" w:cs="FreeSetCTT"/>
          <w:bCs/>
          <w:sz w:val="24"/>
        </w:rPr>
        <w:t>65@</w:t>
      </w:r>
      <w:r w:rsidRPr="00520723">
        <w:rPr>
          <w:rFonts w:ascii="Times New Roman" w:hAnsi="Times New Roman" w:cs="FreeSetCTT"/>
          <w:bCs/>
          <w:sz w:val="24"/>
          <w:lang w:val="en-US"/>
        </w:rPr>
        <w:t>yandex</w:t>
      </w:r>
      <w:r w:rsidRPr="00520723">
        <w:rPr>
          <w:rFonts w:ascii="Times New Roman" w:hAnsi="Times New Roman" w:cs="FreeSetCTT"/>
          <w:bCs/>
          <w:sz w:val="24"/>
        </w:rPr>
        <w:t>.ru.</w:t>
      </w:r>
      <w:r w:rsidRPr="00520723">
        <w:rPr>
          <w:rFonts w:ascii="Times New Roman" w:hAnsi="Times New Roman" w:cs="FreeSetCTT"/>
          <w:sz w:val="24"/>
          <w:szCs w:val="20"/>
        </w:rPr>
        <w:t xml:space="preserve"> В заявке указывается полное название организации, реквизиты для выставления счета за участие в Конкурсе, должность, фамилия, имя, отчество руководителя организации, подписывающего договор (организационный целевой взнос), контактные сведения (почтовый и электронный адрес, телефон, факс, фамилия, имя и отчество исполнителя).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3.2. На основании заявки журнал «Университетская книга» заключает договор и выставляет счет за участие в Конкурсе.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3.3. После оплаты организационного целевого взноса конкурсные издания и сопроводительные материалы направляются участниками Конкурса </w:t>
      </w:r>
      <w:r w:rsidRPr="00520723">
        <w:rPr>
          <w:rFonts w:ascii="Times New Roman" w:hAnsi="Times New Roman" w:cs="FreeSetCTT"/>
          <w:bCs/>
          <w:sz w:val="24"/>
        </w:rPr>
        <w:t>до 1 апреля 2015 г.</w:t>
      </w:r>
      <w:r w:rsidRPr="00520723">
        <w:rPr>
          <w:rFonts w:ascii="Times New Roman" w:hAnsi="Times New Roman" w:cs="FreeSetCTT"/>
          <w:sz w:val="24"/>
          <w:szCs w:val="20"/>
        </w:rPr>
        <w:t xml:space="preserve"> по адресу: 103045, г. Москва, ул. Садовая-Спасская, д.6. Московский государственный </w:t>
      </w:r>
      <w:r w:rsidRPr="00520723">
        <w:rPr>
          <w:rFonts w:ascii="Times New Roman" w:hAnsi="Times New Roman" w:cs="FreeSetCTT"/>
          <w:sz w:val="24"/>
          <w:szCs w:val="20"/>
        </w:rPr>
        <w:lastRenderedPageBreak/>
        <w:t>университет печати имени Ивана Федорова (МГУП), институт издательского дела и журналистики (ИИДиЖ), кафедра издательского дела и книговедения (ИДИК). Конкурс «Университетская книга-2015»</w:t>
      </w:r>
      <w:r w:rsidRPr="00520723">
        <w:rPr>
          <w:rFonts w:ascii="Times New Roman" w:hAnsi="Times New Roman"/>
          <w:sz w:val="24"/>
          <w:szCs w:val="20"/>
        </w:rPr>
        <w:t>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3.4. К изданиям, присылаемым на Конкурс, прилагаются следующие материалы в печатном виде: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регистрационная форма (см. приложение 1 на сайте журнала www.u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nkniga</w:t>
      </w:r>
      <w:r w:rsidRPr="00520723">
        <w:rPr>
          <w:rFonts w:ascii="Times New Roman" w:hAnsi="Times New Roman" w:cs="FreeSetCTT"/>
          <w:sz w:val="24"/>
          <w:szCs w:val="20"/>
        </w:rPr>
        <w:t>.ru);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– список изданий, представляемых на Конкурс (см. приложение 2 на сайте журнала www.u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nkniga</w:t>
      </w:r>
      <w:r w:rsidRPr="00520723">
        <w:rPr>
          <w:rFonts w:ascii="Times New Roman" w:hAnsi="Times New Roman" w:cs="FreeSetCTT"/>
          <w:sz w:val="24"/>
          <w:szCs w:val="20"/>
        </w:rPr>
        <w:t>.ru);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-  рецензии (внутренняя или внешняя) за подписью рецензента (копии);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- опубликованные отзывы на издание (при их наличии);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- грамоты и дипломы, полученные на региональных и отраслевых конкурсах.</w:t>
      </w:r>
    </w:p>
    <w:p w:rsidR="00520723" w:rsidRPr="00520723" w:rsidRDefault="00520723" w:rsidP="00520723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4. Порядок проведения Конкурса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4.1. Конкурс проводится в четыре этапа:</w:t>
      </w:r>
    </w:p>
    <w:p w:rsidR="00520723" w:rsidRPr="00520723" w:rsidRDefault="00520723" w:rsidP="00520723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– </w:t>
      </w:r>
      <w:r w:rsidRPr="00520723">
        <w:rPr>
          <w:rFonts w:ascii="Times New Roman" w:hAnsi="Times New Roman" w:cs="FreeSetCTT"/>
          <w:bCs/>
          <w:iCs/>
          <w:sz w:val="24"/>
        </w:rPr>
        <w:t>организационно-подготовительный</w:t>
      </w:r>
      <w:r w:rsidRPr="00520723">
        <w:rPr>
          <w:rFonts w:ascii="Times New Roman" w:hAnsi="Times New Roman" w:cs="FreeSetCTT"/>
          <w:sz w:val="24"/>
          <w:szCs w:val="20"/>
        </w:rPr>
        <w:t xml:space="preserve"> (январь 2014 – март 2015 г.), в ходе которого принимаются и обрабатываются направляемые вузовскими и книжными</w:t>
      </w:r>
      <w:r w:rsidRPr="00520723">
        <w:rPr>
          <w:rFonts w:ascii="Times New Roman" w:hAnsi="Times New Roman" w:cs="FreeSetCTT"/>
          <w:iCs/>
          <w:sz w:val="24"/>
        </w:rPr>
        <w:t xml:space="preserve"> </w:t>
      </w:r>
      <w:r w:rsidRPr="00520723">
        <w:rPr>
          <w:rFonts w:ascii="Times New Roman" w:hAnsi="Times New Roman" w:cs="FreeSetCTT"/>
          <w:sz w:val="24"/>
          <w:szCs w:val="20"/>
        </w:rPr>
        <w:t xml:space="preserve">издательствами на конкурс заявки и издания; </w:t>
      </w:r>
    </w:p>
    <w:p w:rsidR="00520723" w:rsidRPr="00520723" w:rsidRDefault="00520723" w:rsidP="00520723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– </w:t>
      </w:r>
      <w:r w:rsidRPr="00520723">
        <w:rPr>
          <w:rFonts w:ascii="Times New Roman" w:hAnsi="Times New Roman" w:cs="FreeSetCTT"/>
          <w:bCs/>
          <w:iCs/>
          <w:sz w:val="24"/>
        </w:rPr>
        <w:t xml:space="preserve">отборочно-экспертный </w:t>
      </w:r>
      <w:r w:rsidRPr="00520723">
        <w:rPr>
          <w:rFonts w:ascii="Times New Roman" w:hAnsi="Times New Roman" w:cs="FreeSetCTT"/>
          <w:sz w:val="24"/>
          <w:szCs w:val="20"/>
        </w:rPr>
        <w:t>(апрель - июль 2015 г.), в ходе которого производятся анализ и оценка представленных на конкурс изданий;</w:t>
      </w:r>
    </w:p>
    <w:p w:rsidR="00520723" w:rsidRPr="00520723" w:rsidRDefault="00520723" w:rsidP="00520723">
      <w:pPr>
        <w:tabs>
          <w:tab w:val="left" w:pos="36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 xml:space="preserve">– </w:t>
      </w:r>
      <w:r w:rsidRPr="00520723">
        <w:rPr>
          <w:rFonts w:ascii="Times New Roman" w:hAnsi="Times New Roman" w:cs="FreeSetCTT"/>
          <w:bCs/>
          <w:iCs/>
          <w:sz w:val="24"/>
        </w:rPr>
        <w:t>итоговый</w:t>
      </w:r>
      <w:r w:rsidRPr="00520723">
        <w:rPr>
          <w:rFonts w:ascii="Times New Roman" w:hAnsi="Times New Roman" w:cs="FreeSetCTT"/>
          <w:iCs/>
          <w:sz w:val="24"/>
        </w:rPr>
        <w:t xml:space="preserve"> </w:t>
      </w:r>
      <w:r w:rsidRPr="00520723">
        <w:rPr>
          <w:rFonts w:ascii="Times New Roman" w:hAnsi="Times New Roman" w:cs="FreeSetCTT"/>
          <w:sz w:val="24"/>
          <w:szCs w:val="20"/>
        </w:rPr>
        <w:t>(август-сентябрь 2015 г.), в ходе которого определяются победители и проходит церемония награждения лауреатов Конкурса.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4.2. Организационный комитет Конкурса формируется по представлению членов Редакционного совета и Редакционной коллегии журнала «Университетская книга». Председатель оргкомитета: ректор МГУП им. Ивана Федорова – Антипов Константин Валерьевич. Состав Оргкомитета Конкурса будет опубликован в журнале «Университетская книга» и на его сайте www.u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nkniga</w:t>
      </w:r>
      <w:r w:rsidRPr="00520723">
        <w:rPr>
          <w:rFonts w:ascii="Times New Roman" w:hAnsi="Times New Roman" w:cs="FreeSetCTT"/>
          <w:sz w:val="24"/>
          <w:szCs w:val="20"/>
        </w:rPr>
        <w:t>.ru не позднее 15 апреля 2014 г.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4.3. Экспертная комиссия создается в рабочем порядке по представлению членов Оргкомитета из числа авторитетных ученых, деятелей культуры и образования, ведущих специалистов книжного дела и полиграфии. Состав Экспертной комиссии будет опубликован на сайте журнала «Университетская книга» www.u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nkniga</w:t>
      </w:r>
      <w:r w:rsidRPr="00520723">
        <w:rPr>
          <w:rFonts w:ascii="Times New Roman" w:hAnsi="Times New Roman" w:cs="FreeSetCTT"/>
          <w:sz w:val="24"/>
          <w:szCs w:val="20"/>
        </w:rPr>
        <w:t>.ru по завершению конкурса.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4.4. Экспертная комиссия определяет процедуры экспертизы поступивших на конкурс изданий, принятия решений о присуждении призовых мест, разрешения споров и разногласий. Все решения Экспертной комиссии принимаются коллегиально, оформляются протоколами и при необходимости могут быть представлены для ознакомления заинтересованным лицам.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4.5. Решения комиссии о награждении авторов учебных книг, вузовских и книжных издательств, участвующих в Конкурсе, рассматриваются Оргкомитетом Конкурса и утверждается специальным постановлением.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lastRenderedPageBreak/>
        <w:t>4.6. Оргкомитет совместно с Экспертной комиссией организуют публикацию материалов о Конкурсе в журнале «Университетская книга» и на его сайте www.u</w:t>
      </w:r>
      <w:r w:rsidRPr="00520723">
        <w:rPr>
          <w:rFonts w:ascii="Times New Roman" w:hAnsi="Times New Roman" w:cs="FreeSetCTT"/>
          <w:sz w:val="24"/>
          <w:szCs w:val="20"/>
          <w:lang w:val="en-US"/>
        </w:rPr>
        <w:t>nkniga</w:t>
      </w:r>
      <w:r w:rsidRPr="00520723">
        <w:rPr>
          <w:rFonts w:ascii="Times New Roman" w:hAnsi="Times New Roman" w:cs="FreeSetCTT"/>
          <w:sz w:val="24"/>
          <w:szCs w:val="20"/>
        </w:rPr>
        <w:t xml:space="preserve">.ru, а также в других заинтересованных изданиях. </w:t>
      </w:r>
    </w:p>
    <w:p w:rsidR="00520723" w:rsidRPr="00520723" w:rsidRDefault="00520723" w:rsidP="00520723">
      <w:pPr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5. Награждение победителей Конкурса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5.1. Победители Конкурса награждаются специально изготовленными дипломами, почетными грамотами и наградными статуэтками.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5.2. Оргкомитет вправе в установленном порядке организовать привлечение дополнительных средств для поощрения участников Конкурса.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5.3. Торжественная церемония награждения победителей Конкурса проводится в рамках Московской Международной книжной выставкой ярмаркой (сентябрь 2015 года). О конкретной дате и месте ее проведения победители Конкурса извещаются заблаговременно, но не менее чем за месяц до установленного срока.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5.4. Книги-призеры экспонируются на специальном стенде Конкурса на ММКВЯ.</w:t>
      </w:r>
    </w:p>
    <w:p w:rsidR="00520723" w:rsidRPr="00520723" w:rsidRDefault="00520723" w:rsidP="00520723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bCs/>
          <w:sz w:val="24"/>
        </w:rPr>
        <w:t>6. Особые условия Конкурса</w:t>
      </w:r>
    </w:p>
    <w:p w:rsidR="00520723" w:rsidRPr="00520723" w:rsidRDefault="00520723" w:rsidP="00520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20723">
        <w:rPr>
          <w:rFonts w:ascii="Times New Roman" w:hAnsi="Times New Roman" w:cs="FreeSetCTT"/>
          <w:sz w:val="24"/>
          <w:szCs w:val="20"/>
        </w:rPr>
        <w:t>6.1. Вузовские и книжные издательства при переиздании книг-победителей Конкурса могут размещать в них информацию о том, что издание является победителем Конкурса «Университетская книга-2015».</w:t>
      </w:r>
    </w:p>
    <w:p w:rsidR="00DA51F2" w:rsidRPr="00520723" w:rsidRDefault="00DA51F2" w:rsidP="00520723">
      <w:pPr>
        <w:rPr>
          <w:szCs w:val="28"/>
        </w:rPr>
      </w:pPr>
    </w:p>
    <w:sectPr w:rsidR="00DA51F2" w:rsidRPr="00520723" w:rsidSect="00260922">
      <w:footerReference w:type="default" r:id="rId9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0AA" w:rsidRDefault="004A20AA" w:rsidP="002E306C">
      <w:pPr>
        <w:spacing w:after="0" w:line="240" w:lineRule="auto"/>
      </w:pPr>
      <w:r>
        <w:separator/>
      </w:r>
    </w:p>
  </w:endnote>
  <w:endnote w:type="continuationSeparator" w:id="1">
    <w:p w:rsidR="004A20AA" w:rsidRDefault="004A20AA" w:rsidP="002E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92616"/>
    </w:sdtPr>
    <w:sdtContent>
      <w:p w:rsidR="00675C2E" w:rsidRDefault="00E671A9">
        <w:pPr>
          <w:pStyle w:val="aa"/>
          <w:jc w:val="right"/>
        </w:pPr>
        <w:fldSimple w:instr=" PAGE   \* MERGEFORMAT ">
          <w:r w:rsidR="00520723">
            <w:rPr>
              <w:noProof/>
            </w:rPr>
            <w:t>6</w:t>
          </w:r>
        </w:fldSimple>
      </w:p>
    </w:sdtContent>
  </w:sdt>
  <w:p w:rsidR="00675C2E" w:rsidRDefault="00675C2E" w:rsidP="002E306C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0AA" w:rsidRDefault="004A20AA" w:rsidP="002E306C">
      <w:pPr>
        <w:spacing w:after="0" w:line="240" w:lineRule="auto"/>
      </w:pPr>
      <w:r>
        <w:separator/>
      </w:r>
    </w:p>
  </w:footnote>
  <w:footnote w:type="continuationSeparator" w:id="1">
    <w:p w:rsidR="004A20AA" w:rsidRDefault="004A20AA" w:rsidP="002E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0C7"/>
    <w:multiLevelType w:val="hybridMultilevel"/>
    <w:tmpl w:val="7EA0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37585"/>
    <w:multiLevelType w:val="hybridMultilevel"/>
    <w:tmpl w:val="71762C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1953"/>
    <w:multiLevelType w:val="hybridMultilevel"/>
    <w:tmpl w:val="3AF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F0300"/>
    <w:multiLevelType w:val="hybridMultilevel"/>
    <w:tmpl w:val="9F02A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85073D"/>
    <w:multiLevelType w:val="multilevel"/>
    <w:tmpl w:val="8B8E32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30B269D"/>
    <w:multiLevelType w:val="hybridMultilevel"/>
    <w:tmpl w:val="336AC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911FEB"/>
    <w:multiLevelType w:val="hybridMultilevel"/>
    <w:tmpl w:val="3AF6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C06ED"/>
    <w:multiLevelType w:val="hybridMultilevel"/>
    <w:tmpl w:val="D966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6"/>
  </w:num>
  <w:num w:numId="30">
    <w:abstractNumId w:val="1"/>
  </w:num>
  <w:num w:numId="31">
    <w:abstractNumId w:val="3"/>
  </w:num>
  <w:num w:numId="32">
    <w:abstractNumId w:val="5"/>
  </w:num>
  <w:num w:numId="33">
    <w:abstractNumId w:val="0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06C"/>
    <w:rsid w:val="00057CAA"/>
    <w:rsid w:val="0009016D"/>
    <w:rsid w:val="000B0D20"/>
    <w:rsid w:val="000D31B7"/>
    <w:rsid w:val="00137EE3"/>
    <w:rsid w:val="00153829"/>
    <w:rsid w:val="00161DBD"/>
    <w:rsid w:val="00183984"/>
    <w:rsid w:val="00185360"/>
    <w:rsid w:val="001935A7"/>
    <w:rsid w:val="001A0F5D"/>
    <w:rsid w:val="001A42BD"/>
    <w:rsid w:val="001B7D1A"/>
    <w:rsid w:val="0023009A"/>
    <w:rsid w:val="002342F4"/>
    <w:rsid w:val="00242FF4"/>
    <w:rsid w:val="002538DA"/>
    <w:rsid w:val="00260922"/>
    <w:rsid w:val="00267169"/>
    <w:rsid w:val="0027141D"/>
    <w:rsid w:val="002A0DC5"/>
    <w:rsid w:val="002E2A65"/>
    <w:rsid w:val="002E306C"/>
    <w:rsid w:val="003206FA"/>
    <w:rsid w:val="00326BA3"/>
    <w:rsid w:val="00365B74"/>
    <w:rsid w:val="003849C7"/>
    <w:rsid w:val="003A377F"/>
    <w:rsid w:val="003B1D6B"/>
    <w:rsid w:val="003E4D86"/>
    <w:rsid w:val="003F1253"/>
    <w:rsid w:val="004145A6"/>
    <w:rsid w:val="00425392"/>
    <w:rsid w:val="00433812"/>
    <w:rsid w:val="0044084D"/>
    <w:rsid w:val="004620C8"/>
    <w:rsid w:val="00474135"/>
    <w:rsid w:val="00487F6F"/>
    <w:rsid w:val="00495B1D"/>
    <w:rsid w:val="004A20AA"/>
    <w:rsid w:val="004A2882"/>
    <w:rsid w:val="004A4BDD"/>
    <w:rsid w:val="004B2D25"/>
    <w:rsid w:val="004D3B52"/>
    <w:rsid w:val="004F1490"/>
    <w:rsid w:val="005042E4"/>
    <w:rsid w:val="00520723"/>
    <w:rsid w:val="00525112"/>
    <w:rsid w:val="00547915"/>
    <w:rsid w:val="00572DEC"/>
    <w:rsid w:val="00595CCD"/>
    <w:rsid w:val="005A6A9B"/>
    <w:rsid w:val="005B5F2B"/>
    <w:rsid w:val="005D4553"/>
    <w:rsid w:val="005F3110"/>
    <w:rsid w:val="005F5DFF"/>
    <w:rsid w:val="005F6F41"/>
    <w:rsid w:val="006004F8"/>
    <w:rsid w:val="00606C1B"/>
    <w:rsid w:val="00632F54"/>
    <w:rsid w:val="0064132E"/>
    <w:rsid w:val="00655B18"/>
    <w:rsid w:val="00675C2E"/>
    <w:rsid w:val="00690484"/>
    <w:rsid w:val="006A1D29"/>
    <w:rsid w:val="006B0FA4"/>
    <w:rsid w:val="006C40C0"/>
    <w:rsid w:val="00712AF4"/>
    <w:rsid w:val="00724682"/>
    <w:rsid w:val="00737430"/>
    <w:rsid w:val="0074491F"/>
    <w:rsid w:val="00755A1B"/>
    <w:rsid w:val="007B187D"/>
    <w:rsid w:val="007D1450"/>
    <w:rsid w:val="007F2F6C"/>
    <w:rsid w:val="00813E37"/>
    <w:rsid w:val="00837E55"/>
    <w:rsid w:val="00862090"/>
    <w:rsid w:val="00873781"/>
    <w:rsid w:val="00885F80"/>
    <w:rsid w:val="008923F1"/>
    <w:rsid w:val="008A2B9F"/>
    <w:rsid w:val="008A658B"/>
    <w:rsid w:val="008C7DBC"/>
    <w:rsid w:val="008D22A5"/>
    <w:rsid w:val="008E2AEA"/>
    <w:rsid w:val="008E636F"/>
    <w:rsid w:val="008F2953"/>
    <w:rsid w:val="00900BA8"/>
    <w:rsid w:val="00912DB3"/>
    <w:rsid w:val="0092198F"/>
    <w:rsid w:val="00924CEA"/>
    <w:rsid w:val="0093651B"/>
    <w:rsid w:val="009853B8"/>
    <w:rsid w:val="00985C2E"/>
    <w:rsid w:val="00990E70"/>
    <w:rsid w:val="009B3770"/>
    <w:rsid w:val="009C343A"/>
    <w:rsid w:val="009E324F"/>
    <w:rsid w:val="009F3BE4"/>
    <w:rsid w:val="00A26E31"/>
    <w:rsid w:val="00A42141"/>
    <w:rsid w:val="00A56792"/>
    <w:rsid w:val="00AA043A"/>
    <w:rsid w:val="00AA685C"/>
    <w:rsid w:val="00AD02E9"/>
    <w:rsid w:val="00AE5DAE"/>
    <w:rsid w:val="00B11563"/>
    <w:rsid w:val="00B12CFA"/>
    <w:rsid w:val="00B34386"/>
    <w:rsid w:val="00B50538"/>
    <w:rsid w:val="00B5255B"/>
    <w:rsid w:val="00B62A48"/>
    <w:rsid w:val="00B6307D"/>
    <w:rsid w:val="00BA3587"/>
    <w:rsid w:val="00BA58F6"/>
    <w:rsid w:val="00C020B5"/>
    <w:rsid w:val="00C035C1"/>
    <w:rsid w:val="00C15B4D"/>
    <w:rsid w:val="00C63D4D"/>
    <w:rsid w:val="00C73DEB"/>
    <w:rsid w:val="00C904DB"/>
    <w:rsid w:val="00CB2987"/>
    <w:rsid w:val="00CD5F56"/>
    <w:rsid w:val="00CF3D3A"/>
    <w:rsid w:val="00D34878"/>
    <w:rsid w:val="00D47D80"/>
    <w:rsid w:val="00D53CB8"/>
    <w:rsid w:val="00D63DDC"/>
    <w:rsid w:val="00D70D7F"/>
    <w:rsid w:val="00D91D95"/>
    <w:rsid w:val="00D967DC"/>
    <w:rsid w:val="00DA51F2"/>
    <w:rsid w:val="00E077B8"/>
    <w:rsid w:val="00E40DC8"/>
    <w:rsid w:val="00E527D9"/>
    <w:rsid w:val="00E6373B"/>
    <w:rsid w:val="00E671A9"/>
    <w:rsid w:val="00E90D41"/>
    <w:rsid w:val="00E95CC2"/>
    <w:rsid w:val="00EA3D16"/>
    <w:rsid w:val="00ED40FC"/>
    <w:rsid w:val="00F0058A"/>
    <w:rsid w:val="00F57631"/>
    <w:rsid w:val="00F64328"/>
    <w:rsid w:val="00F66CA6"/>
    <w:rsid w:val="00FB3E76"/>
    <w:rsid w:val="00FB4C03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4"/>
  </w:style>
  <w:style w:type="paragraph" w:styleId="1">
    <w:name w:val="heading 1"/>
    <w:basedOn w:val="a"/>
    <w:next w:val="a"/>
    <w:link w:val="10"/>
    <w:uiPriority w:val="9"/>
    <w:qFormat/>
    <w:rsid w:val="002E306C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90484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0484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90484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90484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0484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0484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0484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048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6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0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04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904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9048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048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904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04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904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690484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2E306C"/>
    <w:pPr>
      <w:outlineLvl w:val="9"/>
    </w:pPr>
  </w:style>
  <w:style w:type="paragraph" w:styleId="a5">
    <w:name w:val="Balloon Text"/>
    <w:basedOn w:val="a"/>
    <w:link w:val="a6"/>
    <w:uiPriority w:val="99"/>
    <w:semiHidden/>
    <w:unhideWhenUsed/>
    <w:rsid w:val="002E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306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2E306C"/>
    <w:pPr>
      <w:spacing w:after="100"/>
    </w:pPr>
  </w:style>
  <w:style w:type="character" w:styleId="a7">
    <w:name w:val="Hyperlink"/>
    <w:basedOn w:val="a0"/>
    <w:uiPriority w:val="99"/>
    <w:unhideWhenUsed/>
    <w:rsid w:val="002E306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306C"/>
  </w:style>
  <w:style w:type="paragraph" w:styleId="aa">
    <w:name w:val="footer"/>
    <w:basedOn w:val="a"/>
    <w:link w:val="ab"/>
    <w:uiPriority w:val="99"/>
    <w:unhideWhenUsed/>
    <w:rsid w:val="002E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06C"/>
  </w:style>
  <w:style w:type="paragraph" w:styleId="ac">
    <w:name w:val="Subtitle"/>
    <w:basedOn w:val="a"/>
    <w:next w:val="a"/>
    <w:link w:val="ad"/>
    <w:uiPriority w:val="11"/>
    <w:qFormat/>
    <w:rsid w:val="002E306C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2E306C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2E30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2E30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Placeholder Text"/>
    <w:basedOn w:val="a0"/>
    <w:uiPriority w:val="99"/>
    <w:semiHidden/>
    <w:rsid w:val="00B11563"/>
    <w:rPr>
      <w:color w:val="808080"/>
    </w:rPr>
  </w:style>
  <w:style w:type="paragraph" w:styleId="af1">
    <w:name w:val="Normal (Web)"/>
    <w:basedOn w:val="a"/>
    <w:uiPriority w:val="99"/>
    <w:rsid w:val="0054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rm1">
    <w:name w:val="term1"/>
    <w:uiPriority w:val="99"/>
    <w:rsid w:val="00547915"/>
    <w:rPr>
      <w:b/>
      <w:i/>
      <w:color w:val="862727"/>
    </w:rPr>
  </w:style>
  <w:style w:type="character" w:customStyle="1" w:styleId="m1">
    <w:name w:val="m1"/>
    <w:uiPriority w:val="99"/>
    <w:rsid w:val="00547915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co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AEB2E-9230-4F04-8201-089DBE9E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УГПИ</cp:lastModifiedBy>
  <cp:revision>2</cp:revision>
  <dcterms:created xsi:type="dcterms:W3CDTF">2015-02-09T12:34:00Z</dcterms:created>
  <dcterms:modified xsi:type="dcterms:W3CDTF">2015-02-09T12:34:00Z</dcterms:modified>
</cp:coreProperties>
</file>